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2B5648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29.11</w:t>
      </w:r>
      <w:r w:rsidR="00070AD0">
        <w:rPr>
          <w:rFonts w:ascii="Calibri" w:hAnsi="Calibri" w:cs="Calibri"/>
        </w:rPr>
        <w:t>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2B5648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AD/380/10</w:t>
      </w:r>
      <w:r w:rsidR="00070AD0">
        <w:rPr>
          <w:rFonts w:ascii="Calibri" w:hAnsi="Calibri" w:cs="Calibri"/>
        </w:rPr>
        <w:t>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zamówień publicznych (Dz. U. z 2019 r. poz. 2019 z późn. zm.) pn. „</w:t>
      </w:r>
      <w:r w:rsidR="002B5648">
        <w:rPr>
          <w:rFonts w:ascii="Calibri" w:eastAsia="Calibri" w:hAnsi="Calibri" w:cs="Calibri"/>
          <w:i/>
          <w:sz w:val="24"/>
          <w:szCs w:val="24"/>
        </w:rPr>
        <w:t>Zakup i dostawa sceny mobilnej</w:t>
      </w:r>
      <w:r w:rsidRPr="00070AD0">
        <w:rPr>
          <w:rFonts w:ascii="Calibri" w:eastAsia="Calibri" w:hAnsi="Calibri" w:cs="Calibri"/>
          <w:i/>
          <w:sz w:val="24"/>
          <w:szCs w:val="24"/>
        </w:rPr>
        <w:t>”.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2B5648">
        <w:rPr>
          <w:rFonts w:ascii="Calibri" w:eastAsia="Calibri" w:hAnsi="Calibri" w:cs="Calibri"/>
          <w:sz w:val="24"/>
          <w:szCs w:val="24"/>
          <w:lang w:eastAsia="x-none"/>
        </w:rPr>
        <w:t>Zakup i dostawa sceny mobilnej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2B5648">
        <w:rPr>
          <w:rFonts w:ascii="Calibri" w:eastAsia="Calibri" w:hAnsi="Calibri" w:cs="Calibri"/>
          <w:sz w:val="24"/>
          <w:szCs w:val="24"/>
          <w:lang w:eastAsia="x-none"/>
        </w:rPr>
        <w:t>246 000,00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C2B54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FC4A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D34F2-FB1C-4C68-B975-9E9136AD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2018-06-05T10:56:00Z</cp:lastPrinted>
  <dcterms:created xsi:type="dcterms:W3CDTF">2021-11-29T07:45:00Z</dcterms:created>
  <dcterms:modified xsi:type="dcterms:W3CDTF">2021-11-29T07:47:00Z</dcterms:modified>
</cp:coreProperties>
</file>